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F15F4C" w:rsidRPr="00F15F4C" w:rsidRDefault="004115E0" w:rsidP="00F15F4C">
      <w:pPr>
        <w:spacing w:line="259" w:lineRule="auto"/>
        <w:ind w:left="0" w:firstLine="0"/>
        <w:jc w:val="center"/>
        <w:rPr>
          <w:b/>
          <w:bCs/>
        </w:rPr>
      </w:pPr>
      <w:bookmarkStart w:id="0" w:name="_GoBack"/>
      <w:r w:rsidRPr="004115E0">
        <w:rPr>
          <w:b/>
          <w:bCs/>
        </w:rPr>
        <w:t>Об изменении оснований перерасчета размера платы за коммунальные услуги</w:t>
      </w:r>
    </w:p>
    <w:bookmarkEnd w:id="0"/>
    <w:p w:rsidR="00E360B9" w:rsidRPr="00E360B9" w:rsidRDefault="00E360B9" w:rsidP="00E360B9">
      <w:pPr>
        <w:spacing w:line="259" w:lineRule="auto"/>
        <w:ind w:left="0" w:firstLine="0"/>
        <w:jc w:val="center"/>
        <w:rPr>
          <w:b/>
          <w:bCs/>
        </w:rPr>
      </w:pPr>
    </w:p>
    <w:p w:rsidR="004115E0" w:rsidRPr="004115E0" w:rsidRDefault="00C22E1A" w:rsidP="004115E0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="004115E0" w:rsidRPr="004115E0">
        <w:rPr>
          <w:rFonts w:eastAsiaTheme="minorHAnsi"/>
          <w:color w:val="000000" w:themeColor="text1"/>
          <w:szCs w:val="28"/>
          <w:lang w:eastAsia="en-US"/>
        </w:rPr>
        <w:t>Федеральным законом от 27.10.2020 № 351-ФЗ «О внесении изменений в статьи 157 и 157.2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требований» внесены изменения в жилищное законодательство по вопросам расчета размера платы за коммунальные услуги.</w:t>
      </w:r>
    </w:p>
    <w:p w:rsidR="004115E0" w:rsidRPr="004115E0" w:rsidRDefault="004115E0" w:rsidP="004115E0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4115E0">
        <w:rPr>
          <w:rFonts w:eastAsiaTheme="minorHAnsi"/>
          <w:color w:val="000000" w:themeColor="text1"/>
          <w:szCs w:val="28"/>
          <w:lang w:eastAsia="en-US"/>
        </w:rPr>
        <w:t>Так, в связи с принятием указанного закона изменение размера платы за коммунальные услуги осуществляется не только при предоставлении коммунальных услуг с перерывами, превышающими установленную продолжительность, но и при предоставлении коммунальных услуг с нарушением требований к их качеству.</w:t>
      </w:r>
    </w:p>
    <w:p w:rsidR="00F15F4C" w:rsidRDefault="004115E0" w:rsidP="004115E0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4115E0">
        <w:rPr>
          <w:rFonts w:eastAsiaTheme="minorHAnsi"/>
          <w:color w:val="000000" w:themeColor="text1"/>
          <w:szCs w:val="28"/>
          <w:lang w:eastAsia="en-US"/>
        </w:rPr>
        <w:t xml:space="preserve">Кроме того, в случае ненадлежащего исполнения обязанностей лицом, которое несет ответственность за содержание и ремонт общего имущества в многоквартирном доме (например, управляющая организация, товарищество собственников жилья), такое лицо обязано компенсировать </w:t>
      </w:r>
      <w:proofErr w:type="spellStart"/>
      <w:r w:rsidRPr="004115E0">
        <w:rPr>
          <w:rFonts w:eastAsiaTheme="minorHAnsi"/>
          <w:color w:val="000000" w:themeColor="text1"/>
          <w:szCs w:val="28"/>
          <w:lang w:eastAsia="en-US"/>
        </w:rPr>
        <w:t>ресурсоснабжающей</w:t>
      </w:r>
      <w:proofErr w:type="spellEnd"/>
      <w:r w:rsidRPr="004115E0">
        <w:rPr>
          <w:rFonts w:eastAsiaTheme="minorHAnsi"/>
          <w:color w:val="000000" w:themeColor="text1"/>
          <w:szCs w:val="28"/>
          <w:lang w:eastAsia="en-US"/>
        </w:rPr>
        <w:t xml:space="preserve"> организации, предоставляющей коммунальные услуги, фактически понесенные ею расходы вследствие изменения размера платы за коммунальные услуги по вышеуказанным основаниям при условии надлежащего исполнения </w:t>
      </w:r>
      <w:proofErr w:type="spellStart"/>
      <w:r w:rsidRPr="004115E0">
        <w:rPr>
          <w:rFonts w:eastAsiaTheme="minorHAnsi"/>
          <w:color w:val="000000" w:themeColor="text1"/>
          <w:szCs w:val="28"/>
          <w:lang w:eastAsia="en-US"/>
        </w:rPr>
        <w:t>ресурсоснабжающей</w:t>
      </w:r>
      <w:proofErr w:type="spellEnd"/>
      <w:r w:rsidRPr="004115E0">
        <w:rPr>
          <w:rFonts w:eastAsiaTheme="minorHAnsi"/>
          <w:color w:val="000000" w:themeColor="text1"/>
          <w:szCs w:val="28"/>
          <w:lang w:eastAsia="en-US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 в порядке, установленном Правительством Российской Федерации.</w:t>
      </w:r>
    </w:p>
    <w:p w:rsidR="00E8428E" w:rsidRDefault="00E8428E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Помощник Тихорецкого </w:t>
      </w: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   </w:t>
      </w:r>
      <w:r w:rsidR="004115E0">
        <w:rPr>
          <w:rFonts w:eastAsiaTheme="minorHAnsi"/>
          <w:color w:val="auto"/>
          <w:szCs w:val="28"/>
          <w:lang w:eastAsia="en-US"/>
        </w:rPr>
        <w:t>К.А. Куркин</w:t>
      </w: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>Заместитель Тихорецкой</w:t>
      </w:r>
    </w:p>
    <w:p w:rsidR="00971224" w:rsidRPr="00E360B9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</w:t>
      </w:r>
      <w:r w:rsidRPr="0043425F">
        <w:rPr>
          <w:rFonts w:eastAsiaTheme="minorHAnsi"/>
          <w:color w:val="auto"/>
          <w:szCs w:val="28"/>
          <w:lang w:eastAsia="en-US"/>
        </w:rPr>
        <w:t xml:space="preserve">В.Д. </w:t>
      </w:r>
      <w:proofErr w:type="spellStart"/>
      <w:r w:rsidRPr="0043425F">
        <w:rPr>
          <w:rFonts w:eastAsiaTheme="minorHAnsi"/>
          <w:color w:val="auto"/>
          <w:szCs w:val="28"/>
          <w:lang w:eastAsia="en-US"/>
        </w:rPr>
        <w:t>Хижний</w:t>
      </w:r>
      <w:proofErr w:type="spellEnd"/>
    </w:p>
    <w:sectPr w:rsidR="00971224" w:rsidRPr="00E360B9" w:rsidSect="000B157B">
      <w:type w:val="continuous"/>
      <w:pgSz w:w="12240" w:h="16840"/>
      <w:pgMar w:top="1016" w:right="1116" w:bottom="851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04522"/>
    <w:rsid w:val="000B157B"/>
    <w:rsid w:val="00111E23"/>
    <w:rsid w:val="00124EB9"/>
    <w:rsid w:val="002C505F"/>
    <w:rsid w:val="00336DED"/>
    <w:rsid w:val="0039322A"/>
    <w:rsid w:val="00396D37"/>
    <w:rsid w:val="004115E0"/>
    <w:rsid w:val="0043425F"/>
    <w:rsid w:val="006055F3"/>
    <w:rsid w:val="009314C6"/>
    <w:rsid w:val="00971224"/>
    <w:rsid w:val="009B1A3E"/>
    <w:rsid w:val="00A21807"/>
    <w:rsid w:val="00AA2098"/>
    <w:rsid w:val="00BC1976"/>
    <w:rsid w:val="00BF653C"/>
    <w:rsid w:val="00C22E1A"/>
    <w:rsid w:val="00C66D7A"/>
    <w:rsid w:val="00D95343"/>
    <w:rsid w:val="00DC09DD"/>
    <w:rsid w:val="00E360B9"/>
    <w:rsid w:val="00E8428E"/>
    <w:rsid w:val="00F15F4C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E6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2021-05-27T14:45:00Z</cp:lastPrinted>
  <dcterms:created xsi:type="dcterms:W3CDTF">2021-05-27T14:47:00Z</dcterms:created>
  <dcterms:modified xsi:type="dcterms:W3CDTF">2021-05-27T14:47:00Z</dcterms:modified>
</cp:coreProperties>
</file>